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59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</w:t>
      </w:r>
      <w:r>
        <w:rPr>
          <w:rFonts w:ascii="Times New Roman" w:eastAsia="Times New Roman" w:hAnsi="Times New Roman" w:cs="Times New Roman"/>
          <w:sz w:val="28"/>
          <w:szCs w:val="28"/>
        </w:rPr>
        <w:t>2943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2608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 w:line="259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№ </w:t>
      </w:r>
      <w:r>
        <w:rPr>
          <w:rFonts w:ascii="Times New Roman" w:eastAsia="Times New Roman" w:hAnsi="Times New Roman" w:cs="Times New Roman"/>
          <w:sz w:val="28"/>
          <w:szCs w:val="28"/>
        </w:rPr>
        <w:t>86MS0063-01-2025-005005-86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11 сентября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Омельченко Т.Р.,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-Югр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Куликовой Людмиле Михайловне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 232.4 ГПК РФ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определил: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округу-Югре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отказ от иска.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гражданскому делу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округу-Югре к </w:t>
      </w:r>
      <w:r>
        <w:rPr>
          <w:rFonts w:ascii="Times New Roman" w:eastAsia="Times New Roman" w:hAnsi="Times New Roman" w:cs="Times New Roman"/>
          <w:sz w:val="28"/>
          <w:szCs w:val="28"/>
        </w:rPr>
        <w:t>Куликовой Людмиле Михайловне о взыскании неосновательного обогащения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заявлению лиц, участвующих в деле, их представителей или в случае подачи частной жалобы по делу, рассматриваемому в порядке упрощенного производства, суд составляет мотивированное определение.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составлении мотивированного определения может быть подано в течение пяти дней со дня подписания резолютивной части определения суда по делу, рассмотренному в порядке упрощенного производства.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определение может быть подана частная жалоба в Сургутский городской суд Ханты-Мансийского автономного округа – Югры в течение пятнадцати дней через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со дня его принятия, а случае составления мотивированного определения суда по заявлению лиц, участвующих в деле, их представителей – со дня принятия определения в окончательной форме.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</w:rPr>
        <w:t>2943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2608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